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B820F2" w:rsidRPr="009239FB">
        <w:rPr>
          <w:rFonts w:ascii="標楷體" w:hAnsi="標楷體" w:hint="eastAsia"/>
          <w:sz w:val="40"/>
          <w:szCs w:val="40"/>
        </w:rPr>
        <w:t>0學年</w:t>
      </w:r>
      <w:r w:rsidR="005A2B6B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CF1A4B" w:rsidRPr="009239FB">
        <w:rPr>
          <w:rFonts w:ascii="標楷體" w:hAnsi="標楷體" w:hint="eastAsia"/>
          <w:sz w:val="32"/>
          <w:szCs w:val="32"/>
        </w:rPr>
        <w:t>4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E90483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97BD7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B77034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</w:p>
          <w:p w:rsidR="00B77034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D2552E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673045</wp:posOffset>
            </wp:positionH>
            <wp:positionV relativeFrom="paragraph">
              <wp:posOffset>181094</wp:posOffset>
            </wp:positionV>
            <wp:extent cx="3401612" cy="866692"/>
            <wp:effectExtent l="19050" t="0" r="8338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12" cy="8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6C3471">
        <w:rPr>
          <w:rFonts w:ascii="標楷體" w:hAnsi="標楷體" w:hint="eastAsia"/>
          <w:sz w:val="40"/>
          <w:szCs w:val="40"/>
        </w:rPr>
        <w:t>0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5A2B6B">
        <w:rPr>
          <w:rFonts w:ascii="標楷體" w:hAnsi="標楷體" w:hint="eastAsia"/>
          <w:sz w:val="40"/>
          <w:szCs w:val="40"/>
        </w:rPr>
        <w:t>上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CF1A4B" w:rsidRPr="009239FB">
        <w:rPr>
          <w:rFonts w:ascii="標楷體" w:hAnsi="標楷體" w:hint="eastAsia"/>
          <w:b/>
          <w:sz w:val="28"/>
          <w:szCs w:val="28"/>
        </w:rPr>
        <w:t>3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615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</w:p>
          <w:p w:rsidR="009239FB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B820F2" w:rsidRPr="009239FB">
        <w:rPr>
          <w:rFonts w:ascii="標楷體" w:hAnsi="標楷體" w:hint="eastAsia"/>
          <w:sz w:val="40"/>
          <w:szCs w:val="40"/>
        </w:rPr>
        <w:t>0學年</w:t>
      </w:r>
      <w:r w:rsidR="005A2B6B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941DE7" w:rsidRPr="009239FB">
        <w:rPr>
          <w:rFonts w:ascii="標楷體" w:hAnsi="標楷體" w:hint="eastAsia"/>
          <w:b/>
          <w:sz w:val="32"/>
          <w:szCs w:val="32"/>
        </w:rPr>
        <w:t>2個月-</w:t>
      </w:r>
      <w:r w:rsidR="00CF1A4B" w:rsidRPr="009239FB">
        <w:rPr>
          <w:rFonts w:ascii="標楷體" w:hAnsi="標楷體" w:hint="eastAsia"/>
          <w:b/>
          <w:sz w:val="32"/>
          <w:szCs w:val="32"/>
        </w:rPr>
        <w:t>8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D86C4C" w:rsidRPr="009239FB" w:rsidRDefault="00D86C4C" w:rsidP="003D0242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  <w:p w:rsidR="009239FB" w:rsidRPr="009239FB" w:rsidRDefault="009239FB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B4" w:rsidRDefault="00BC64B4" w:rsidP="00EA3460">
      <w:r>
        <w:separator/>
      </w:r>
    </w:p>
  </w:endnote>
  <w:endnote w:type="continuationSeparator" w:id="0">
    <w:p w:rsidR="00BC64B4" w:rsidRDefault="00BC64B4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B4" w:rsidRDefault="00BC64B4" w:rsidP="00EA3460">
      <w:r>
        <w:separator/>
      </w:r>
    </w:p>
  </w:footnote>
  <w:footnote w:type="continuationSeparator" w:id="0">
    <w:p w:rsidR="00BC64B4" w:rsidRDefault="00BC64B4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3D16"/>
    <w:rsid w:val="000A4981"/>
    <w:rsid w:val="001055B3"/>
    <w:rsid w:val="00106443"/>
    <w:rsid w:val="0013668E"/>
    <w:rsid w:val="00141C2A"/>
    <w:rsid w:val="0014665E"/>
    <w:rsid w:val="001510B8"/>
    <w:rsid w:val="00152FEA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77431"/>
    <w:rsid w:val="0029299A"/>
    <w:rsid w:val="002F3D7F"/>
    <w:rsid w:val="002F44A2"/>
    <w:rsid w:val="002F588C"/>
    <w:rsid w:val="002F5CD3"/>
    <w:rsid w:val="00352333"/>
    <w:rsid w:val="00353F18"/>
    <w:rsid w:val="003556EB"/>
    <w:rsid w:val="003B0F35"/>
    <w:rsid w:val="003C2C12"/>
    <w:rsid w:val="003D0242"/>
    <w:rsid w:val="003D2BDF"/>
    <w:rsid w:val="003D38F9"/>
    <w:rsid w:val="003E4C26"/>
    <w:rsid w:val="003F5214"/>
    <w:rsid w:val="004508BD"/>
    <w:rsid w:val="0045773C"/>
    <w:rsid w:val="00466962"/>
    <w:rsid w:val="0046734A"/>
    <w:rsid w:val="00492403"/>
    <w:rsid w:val="00494665"/>
    <w:rsid w:val="00497415"/>
    <w:rsid w:val="00497BD7"/>
    <w:rsid w:val="00545901"/>
    <w:rsid w:val="00560735"/>
    <w:rsid w:val="005A2B6B"/>
    <w:rsid w:val="005A747C"/>
    <w:rsid w:val="005C0617"/>
    <w:rsid w:val="005E6D33"/>
    <w:rsid w:val="005F0AF4"/>
    <w:rsid w:val="00615E36"/>
    <w:rsid w:val="006205DF"/>
    <w:rsid w:val="0062521E"/>
    <w:rsid w:val="006319A5"/>
    <w:rsid w:val="00641196"/>
    <w:rsid w:val="00675896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65051"/>
    <w:rsid w:val="007A5441"/>
    <w:rsid w:val="007B7215"/>
    <w:rsid w:val="007D5641"/>
    <w:rsid w:val="00806D76"/>
    <w:rsid w:val="00813CF6"/>
    <w:rsid w:val="00832854"/>
    <w:rsid w:val="008378A7"/>
    <w:rsid w:val="008766AD"/>
    <w:rsid w:val="008957D6"/>
    <w:rsid w:val="008B1EC2"/>
    <w:rsid w:val="008B7DCF"/>
    <w:rsid w:val="008C13FF"/>
    <w:rsid w:val="008D5778"/>
    <w:rsid w:val="008F640A"/>
    <w:rsid w:val="00904984"/>
    <w:rsid w:val="00914422"/>
    <w:rsid w:val="009239FB"/>
    <w:rsid w:val="00933650"/>
    <w:rsid w:val="00941DE7"/>
    <w:rsid w:val="00960439"/>
    <w:rsid w:val="00985456"/>
    <w:rsid w:val="00991EE9"/>
    <w:rsid w:val="009B6542"/>
    <w:rsid w:val="00A316BA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C64B4"/>
    <w:rsid w:val="00BE6DB9"/>
    <w:rsid w:val="00C31C7A"/>
    <w:rsid w:val="00C44542"/>
    <w:rsid w:val="00C44D06"/>
    <w:rsid w:val="00C5458D"/>
    <w:rsid w:val="00C572B0"/>
    <w:rsid w:val="00C63846"/>
    <w:rsid w:val="00C738FD"/>
    <w:rsid w:val="00C748AB"/>
    <w:rsid w:val="00C96CBB"/>
    <w:rsid w:val="00CA6C10"/>
    <w:rsid w:val="00CF1A4B"/>
    <w:rsid w:val="00D1035D"/>
    <w:rsid w:val="00D2552E"/>
    <w:rsid w:val="00D76E62"/>
    <w:rsid w:val="00D85B5F"/>
    <w:rsid w:val="00D86C4C"/>
    <w:rsid w:val="00DA5719"/>
    <w:rsid w:val="00DB1513"/>
    <w:rsid w:val="00DC314E"/>
    <w:rsid w:val="00DF1B34"/>
    <w:rsid w:val="00DF1E15"/>
    <w:rsid w:val="00E315FA"/>
    <w:rsid w:val="00E51765"/>
    <w:rsid w:val="00E76C0F"/>
    <w:rsid w:val="00E90483"/>
    <w:rsid w:val="00EA3460"/>
    <w:rsid w:val="00EC55EE"/>
    <w:rsid w:val="00ED15CC"/>
    <w:rsid w:val="00EE6F4C"/>
    <w:rsid w:val="00F45DDC"/>
    <w:rsid w:val="00F84518"/>
    <w:rsid w:val="00F93F63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30EE-7053-4B18-BF43-DB8A2C37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2019-11-18T09:04:00Z</cp:lastPrinted>
  <dcterms:created xsi:type="dcterms:W3CDTF">2021-08-04T05:08:00Z</dcterms:created>
  <dcterms:modified xsi:type="dcterms:W3CDTF">2021-08-04T05:08:00Z</dcterms:modified>
</cp:coreProperties>
</file>